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25FEI84906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72C603-8E81-4147-A955-CCBA07324B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